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109" w:rsidRDefault="000F2109" w:rsidP="000F2109">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2"/>
      <w:r>
        <w:rPr>
          <w:rFonts w:ascii="Arial" w:hAnsi="Arial" w:cs="Arial"/>
          <w:b/>
          <w:bCs/>
          <w:sz w:val="20"/>
          <w:szCs w:val="20"/>
        </w:rPr>
        <w:t> Tài khoản 334 - Phải trả người lao động</w:t>
      </w:r>
      <w:bookmarkEnd w:id="0"/>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Tài khoản này dùng để phản ánh các khoản phải trả và tình hình thanh toán các khoản phải trả cho người lao động của doanh nghiệp về tiền lương, tiền công, tiền thưởng, bảo hiểm xã hội và các khoản phải trả khác thuộc về thu nhập của người lao động.</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334 - Phải trả người lao động</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tiền lương, tiền công, tiền thưởng có tính chất lương, bảo hiểm xã hội và các khoản khác đã trả, đã chi, đã ứng trước cho người lao động;</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khấu trừ vào tiền lương, tiền công của người lao động.</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Các khoản tiền lương, tiền công, tiền thưởng có tính chất lương, bảo hiểm xã hội và các khoản khác phải trả, phải chi cho người lao động;</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 </w:t>
      </w:r>
      <w:r>
        <w:rPr>
          <w:rFonts w:ascii="Arial" w:hAnsi="Arial" w:cs="Arial"/>
          <w:sz w:val="20"/>
          <w:szCs w:val="20"/>
        </w:rPr>
        <w:t>Các khoản tiền lương, tiền công, tiền thưởng có tính chất lương và các khoản khác còn phải trả cho người lao động.</w:t>
      </w:r>
    </w:p>
    <w:p w:rsidR="000F2109" w:rsidRDefault="000F2109" w:rsidP="000F2109">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Tài khoản 334 có thể có số dư bên Nợ. Số dư bên Nợ tài khoản 334 (nếu có) phản ánh số tiền đã trả lớn hơn số phải trả về tiền lương, tiền công, tiền thưởng và các khoản khác cho người lao động.</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09"/>
    <w:rsid w:val="000F2109"/>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1A5BA6-B045-4ED4-A599-27B1C86A6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2109"/>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6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2024-03-18T01:48:00Z</dcterms:created>
  <dcterms:modified xsi:type="dcterms:W3CDTF">2024-03-18T01:48:00Z</dcterms:modified>
</cp:coreProperties>
</file>